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right"/>
      </w:pPr>
      <w:r>
        <w:rPr>
          <w:rFonts w:ascii="Arial" w:hAnsi="Arial"/>
          <w:color w:val="59666E"/>
          <w:sz w:val="15"/>
        </w:rPr>
        <w:t>Aprobată prin Ordinul nr. 1DPO din 21 august 2026</w:t>
      </w:r>
    </w:p>
    <w:p>
      <w:pPr>
        <w:spacing w:after="100" w:line="240" w:lineRule="auto"/>
        <w:jc w:val="center"/>
        <w:shd w:fill="0B4F71"/>
      </w:pPr>
      <w:r>
        <w:rPr>
          <w:rFonts w:ascii="Arial" w:hAnsi="Arial" w:eastAsia="Arial"/>
          <w:b/>
          <w:color w:val="FFFFFF"/>
          <w:sz w:val="16"/>
        </w:rPr>
        <w:t>VERSIUNEA ÎN LIMBA ROMÂNĂ</w:t>
      </w:r>
    </w:p>
    <w:p>
      <w:pPr>
        <w:pStyle w:val="Title"/>
        <w:jc w:val="center"/>
      </w:pPr>
      <w:r>
        <w:t>POLITICA DE CONFIDENȚIALITATE ȘI COOKIE</w:t>
      </w:r>
    </w:p>
    <w:p>
      <w:pPr>
        <w:spacing w:after="80" w:line="240" w:lineRule="auto"/>
        <w:jc w:val="center"/>
      </w:pPr>
      <w:r>
        <w:rPr>
          <w:i/>
          <w:color w:val="59666E"/>
          <w:sz w:val="18"/>
        </w:rPr>
        <w:t>pentru aquabohema.com, vitacolorostyle.com și aquabohemia.md · versiunea 1.0 · în vigoare din 23 august 2026</w:t>
      </w:r>
    </w:p>
    <w:p>
      <w:pPr>
        <w:pStyle w:val="Heading1"/>
      </w:pPr>
      <w:r>
        <w:t>1. Cine suntem</w:t>
      </w:r>
    </w:p>
    <w:p>
      <w:pPr>
        <w:keepLines w:val="0"/>
      </w:pPr>
      <w:r>
        <w:t>Operatorul datelor este S.R.L. „VITA COLORATA”, IDNO 1009600031488, cu sediul în MD-2043, mun. Chișinău, bd. Dacia nr. 20, of. 56, Republica Moldova. Pentru întrebări și exercitarea drepturilor ne puteți contacta la contact@aquabohema.com sau +373 69 127 871.</w:t>
      </w:r>
    </w:p>
    <w:p>
      <w:pPr>
        <w:pStyle w:val="Heading1"/>
      </w:pPr>
      <w:r>
        <w:t>2. Ce date folosim și de ce</w:t>
      </w:r>
    </w:p>
    <w:tbl>
      <w:tblPr>
        <w:tblW w:type="auto" w:w="0"/>
        <w:jc w:val="center"/>
        <w:tblLayout w:type="fixed"/>
        <w:tblLook w:firstColumn="1" w:firstRow="1" w:lastColumn="0" w:lastRow="0" w:noHBand="0" w:noVBand="1" w:val="04A0"/>
      </w:tblPr>
      <w:tblGrid>
        <w:gridCol w:w="3421"/>
        <w:gridCol w:w="3421"/>
        <w:gridCol w:w="3421"/>
      </w:tblGrid>
      <w:tr>
        <w:trPr>
          <w:tblHeader w:val="true"/>
          <w:cantSplit/>
        </w:trPr>
        <w:tc>
          <w:tcPr>
            <w:tcW w:type="dxa" w:w="2409"/>
            <w:shd w:fill="0B4F71"/>
            <w:vAlign w:val="center"/>
            <w:tcMar>
              <w:top w:w="80" w:type="dxa"/>
              <w:start w:w="90" w:type="dxa"/>
              <w:bottom w:w="80" w:type="dxa"/>
              <w:end w:w="90" w:type="dxa"/>
            </w:tcMar>
          </w:tcPr>
          <w:p>
            <w:pPr>
              <w:spacing w:before="0" w:after="0" w:line="240" w:lineRule="auto"/>
              <w:jc w:val="center"/>
            </w:pPr>
            <w:r/>
            <w:r>
              <w:rPr>
                <w:rFonts w:ascii="Arial" w:hAnsi="Arial" w:eastAsia="Arial"/>
                <w:b/>
                <w:color w:val="FFFFFF"/>
                <w:sz w:val="18"/>
              </w:rPr>
              <w:t>Scop</w:t>
            </w:r>
          </w:p>
        </w:tc>
        <w:tc>
          <w:tcPr>
            <w:tcW w:type="dxa" w:w="4592"/>
            <w:shd w:fill="0B4F71"/>
            <w:vAlign w:val="center"/>
            <w:tcMar>
              <w:top w:w="80" w:type="dxa"/>
              <w:start w:w="90" w:type="dxa"/>
              <w:bottom w:w="80" w:type="dxa"/>
              <w:end w:w="90" w:type="dxa"/>
            </w:tcMar>
          </w:tcPr>
          <w:p>
            <w:pPr>
              <w:spacing w:before="0" w:after="0" w:line="240" w:lineRule="auto"/>
              <w:jc w:val="center"/>
            </w:pPr>
            <w:r/>
            <w:r>
              <w:rPr>
                <w:rFonts w:ascii="Arial" w:hAnsi="Arial" w:eastAsia="Arial"/>
                <w:b/>
                <w:color w:val="FFFFFF"/>
                <w:sz w:val="18"/>
              </w:rPr>
              <w:t>Date folosite</w:t>
            </w:r>
          </w:p>
        </w:tc>
        <w:tc>
          <w:tcPr>
            <w:tcW w:type="dxa" w:w="2976"/>
            <w:shd w:fill="0B4F71"/>
            <w:vAlign w:val="center"/>
            <w:tcMar>
              <w:top w:w="80" w:type="dxa"/>
              <w:start w:w="90" w:type="dxa"/>
              <w:bottom w:w="80" w:type="dxa"/>
              <w:end w:w="90" w:type="dxa"/>
            </w:tcMar>
          </w:tcPr>
          <w:p>
            <w:pPr>
              <w:spacing w:before="0" w:after="0" w:line="240" w:lineRule="auto"/>
              <w:jc w:val="center"/>
            </w:pPr>
            <w:r/>
            <w:r>
              <w:rPr>
                <w:rFonts w:ascii="Arial" w:hAnsi="Arial" w:eastAsia="Arial"/>
                <w:b/>
                <w:color w:val="FFFFFF"/>
                <w:sz w:val="18"/>
              </w:rPr>
              <w:t>Temei</w:t>
            </w:r>
          </w:p>
        </w:tc>
      </w:tr>
      <w:tr>
        <w:trPr>
          <w:cantSplit/>
        </w:trPr>
        <w:tc>
          <w:tcPr>
            <w:tcW w:type="dxa" w:w="2409"/>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Comenzi, livrare, retur</w:t>
            </w:r>
          </w:p>
        </w:tc>
        <w:tc>
          <w:tcPr>
            <w:tcW w:type="dxa" w:w="4592"/>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Nume, telefon, e-mail, adresă, produse, cantitate, preț și corespondență</w:t>
            </w:r>
          </w:p>
        </w:tc>
        <w:tc>
          <w:tcPr>
            <w:tcW w:type="dxa" w:w="297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Contract și obligații legale</w:t>
            </w:r>
          </w:p>
        </w:tc>
      </w:tr>
      <w:tr>
        <w:trPr>
          <w:cantSplit/>
        </w:trPr>
        <w:tc>
          <w:tcPr>
            <w:tcW w:type="dxa" w:w="2409"/>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Facturare și plată</w:t>
            </w:r>
          </w:p>
        </w:tc>
        <w:tc>
          <w:tcPr>
            <w:tcW w:type="dxa" w:w="4592"/>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Date de facturare, suma și statutul plății; fără datele complete ale cardului</w:t>
            </w:r>
          </w:p>
        </w:tc>
        <w:tc>
          <w:tcPr>
            <w:tcW w:type="dxa" w:w="2976"/>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Contract și obligații legale</w:t>
            </w:r>
          </w:p>
        </w:tc>
      </w:tr>
      <w:tr>
        <w:trPr>
          <w:cantSplit/>
        </w:trPr>
        <w:tc>
          <w:tcPr>
            <w:tcW w:type="dxa" w:w="2409"/>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Întrebări și reclamații</w:t>
            </w:r>
          </w:p>
        </w:tc>
        <w:tc>
          <w:tcPr>
            <w:tcW w:type="dxa" w:w="4592"/>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Date de contact, mesaj, comandă și dovezi necesare</w:t>
            </w:r>
          </w:p>
        </w:tc>
        <w:tc>
          <w:tcPr>
            <w:tcW w:type="dxa" w:w="297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Contract, obligație legală sau interes legitim</w:t>
            </w:r>
          </w:p>
        </w:tc>
      </w:tr>
      <w:tr>
        <w:trPr>
          <w:cantSplit/>
        </w:trPr>
        <w:tc>
          <w:tcPr>
            <w:tcW w:type="dxa" w:w="2409"/>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Cont de client, dacă este utilizat</w:t>
            </w:r>
          </w:p>
        </w:tc>
        <w:tc>
          <w:tcPr>
            <w:tcW w:type="dxa" w:w="4592"/>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Date de autentificare, profil și istoric al comenzilor</w:t>
            </w:r>
          </w:p>
        </w:tc>
        <w:tc>
          <w:tcPr>
            <w:tcW w:type="dxa" w:w="2976"/>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Contract; securitate prin interes legitim</w:t>
            </w:r>
          </w:p>
        </w:tc>
      </w:tr>
      <w:tr>
        <w:trPr>
          <w:cantSplit/>
        </w:trPr>
        <w:tc>
          <w:tcPr>
            <w:tcW w:type="dxa" w:w="2409"/>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Marketing și oferte personalizate</w:t>
            </w:r>
          </w:p>
        </w:tc>
        <w:tc>
          <w:tcPr>
            <w:tcW w:type="dxa" w:w="4592"/>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Canalul ales și dovada consimțământului; istoric minim al comenzilor, dacă ați acceptat personalizarea</w:t>
            </w:r>
          </w:p>
        </w:tc>
        <w:tc>
          <w:tcPr>
            <w:tcW w:type="dxa" w:w="297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Consimțământ sau alt temei permis de lege</w:t>
            </w:r>
          </w:p>
        </w:tc>
      </w:tr>
      <w:tr>
        <w:trPr>
          <w:cantSplit/>
        </w:trPr>
        <w:tc>
          <w:tcPr>
            <w:tcW w:type="dxa" w:w="2409"/>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Funcționarea și securitatea site-ului</w:t>
            </w:r>
          </w:p>
        </w:tc>
        <w:tc>
          <w:tcPr>
            <w:tcW w:type="dxa" w:w="4592"/>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IP, browser/dispozitiv, evenimente tehnice, loguri și cookie</w:t>
            </w:r>
          </w:p>
        </w:tc>
        <w:tc>
          <w:tcPr>
            <w:tcW w:type="dxa" w:w="2976"/>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Serviciu și interes legitim; consimțământ pentru cookie opționale</w:t>
            </w:r>
          </w:p>
        </w:tc>
      </w:tr>
    </w:tbl>
    <w:p>
      <w:pPr>
        <w:spacing w:after="0"/>
      </w:pPr>
    </w:p>
    <w:tbl>
      <w:tblPr>
        <w:tblW w:type="auto" w:w="0"/>
        <w:jc w:val="center"/>
        <w:tblLayout w:type="autofit"/>
        <w:tblLook w:firstColumn="1" w:firstRow="1" w:lastColumn="0" w:lastRow="0" w:noHBand="0" w:noVBand="1" w:val="04A0"/>
      </w:tblPr>
      <w:tblGrid>
        <w:gridCol w:w="10262"/>
      </w:tblGrid>
      <w:tr>
        <w:trPr>
          <w:trHeight w:hRule="atLeast"/>
          <w:cantSplit/>
        </w:trPr>
        <w:tc>
          <w:tcPr>
            <w:tcW w:type="dxa" w:w="10262"/>
            <w:shd w:fill="EAF3F7"/>
            <w:vAlign w:val="center"/>
            <w:tcMar>
              <w:top w:w="80" w:type="dxa"/>
              <w:start w:w="90" w:type="dxa"/>
              <w:bottom w:w="80" w:type="dxa"/>
              <w:end w:w="90" w:type="dxa"/>
            </w:tcMar>
          </w:tcPr>
          <w:p>
            <w:pPr>
              <w:spacing w:before="0" w:after="0" w:line="240" w:lineRule="auto"/>
            </w:pPr>
            <w:r/>
            <w:r>
              <w:rPr>
                <w:rFonts w:ascii="Arial" w:hAnsi="Arial" w:eastAsia="Arial"/>
                <w:b w:val="0"/>
                <w:color w:val="1E2A32"/>
                <w:sz w:val="18"/>
              </w:rPr>
              <w:t>Câmpurile obligatorii sunt marcate în formular. Fără datele necesare nu putem procesa și livra comanda. Contul, marketingul, personalizarea și cookie opționale nu condiționează cumpărarea. Nu vă solicităm diagnostice ori alte date privind sănătatea; nu le transmiteți în comandă sau mesaje.</w:t>
            </w:r>
          </w:p>
        </w:tc>
      </w:tr>
    </w:tbl>
    <w:p>
      <w:pPr>
        <w:pStyle w:val="Heading1"/>
      </w:pPr>
      <w:r>
        <w:t>3. Plățile online</w:t>
      </w:r>
    </w:p>
    <w:p>
      <w:pPr>
        <w:keepLines w:val="0"/>
      </w:pPr>
      <w:r>
        <w:t>Plățile online sunt procesate de BC „MAIB” S.A., care acționează ca operator independent pentru efectuarea și securitatea plății. Nu primim și nu stocăm numărul complet al cardului, codul CVV/CVC sau datele de autentificare bancară. Primim doar suma, valuta, identificatorul și statutul tranzacției.</w:t>
      </w:r>
    </w:p>
    <w:p>
      <w:pPr>
        <w:pStyle w:val="Heading1"/>
      </w:pPr>
      <w:r>
        <w:t>4. De unde provin datele și cui le divulgăm</w:t>
      </w:r>
    </w:p>
    <w:p>
      <w:pPr>
        <w:keepLines w:val="0"/>
      </w:pPr>
      <w:r>
        <w:t>Datele provin în principal de la dumneavoastră. Dacă o comandă este plasată pentru altă persoană, unele date pot proveni de la persoana care comandă. Pot exista și date primite de la curier, bancă sau platforma prin care ne contactați, strict pentru rezolvarea solicitării.</w:t>
      </w:r>
    </w:p>
    <w:p>
      <w:pPr>
        <w:keepLines w:val="0"/>
      </w:pPr>
      <w:r>
        <w:t>Accesul este limitat la angajații care au nevoie de date și, după caz, la furnizorii de găzduire și mentenanță a site-ului, bancă, serviciul de livrare, consultanți contabili/juridici și autorități publice. Transmitem numai datele necesare. Nu vindem datele și nu le oferim altor companii pentru publicitatea proprie a acestora.</w:t>
      </w:r>
    </w:p>
    <w:p>
      <w:pPr>
        <w:pStyle w:val="Heading1"/>
      </w:pPr>
      <w:r>
        <w:t>5. Transferuri în alte state</w:t>
      </w:r>
    </w:p>
    <w:p>
      <w:pPr>
        <w:keepLines w:val="0"/>
      </w:pPr>
      <w:r>
        <w:t>Unele servicii online pot implica stocarea sau accesarea datelor din afara Republicii Moldova. În aceste cazuri documentăm transferul și aplicăm garanțiile prevăzute de Legea nr. 195/2024. La cerere, vă oferim informații despre garanțiile aplicate, în limitele protejării informațiilor confidențiale.</w:t>
      </w:r>
    </w:p>
    <w:p>
      <w:r>
        <w:br w:type="page"/>
      </w:r>
    </w:p>
    <w:p>
      <w:pPr>
        <w:pStyle w:val="Heading1"/>
      </w:pPr>
      <w:r>
        <w:t>6. Cât timp păstrăm datele</w:t>
      </w:r>
    </w:p>
    <w:tbl>
      <w:tblPr>
        <w:tblW w:type="auto" w:w="0"/>
        <w:jc w:val="center"/>
        <w:tblLayout w:type="fixed"/>
        <w:tblLook w:firstColumn="1" w:firstRow="1" w:lastColumn="0" w:lastRow="0" w:noHBand="0" w:noVBand="1" w:val="04A0"/>
      </w:tblPr>
      <w:tblGrid>
        <w:gridCol w:w="5131"/>
        <w:gridCol w:w="5131"/>
      </w:tblGrid>
      <w:tr>
        <w:trPr>
          <w:tblHeader w:val="true"/>
          <w:cantSplit/>
        </w:trPr>
        <w:tc>
          <w:tcPr>
            <w:tcW w:type="dxa" w:w="3005"/>
            <w:shd w:fill="0B4F71"/>
            <w:vAlign w:val="center"/>
            <w:tcMar>
              <w:top w:w="80" w:type="dxa"/>
              <w:start w:w="90" w:type="dxa"/>
              <w:bottom w:w="80" w:type="dxa"/>
              <w:end w:w="90" w:type="dxa"/>
            </w:tcMar>
          </w:tcPr>
          <w:p>
            <w:pPr>
              <w:spacing w:before="0" w:after="0" w:line="240" w:lineRule="auto"/>
              <w:jc w:val="center"/>
            </w:pPr>
            <w:r/>
            <w:r>
              <w:rPr>
                <w:rFonts w:ascii="Arial" w:hAnsi="Arial" w:eastAsia="Arial"/>
                <w:b/>
                <w:color w:val="FFFFFF"/>
                <w:sz w:val="17"/>
              </w:rPr>
              <w:t>Categorie</w:t>
            </w:r>
          </w:p>
        </w:tc>
        <w:tc>
          <w:tcPr>
            <w:tcW w:type="dxa" w:w="6973"/>
            <w:shd w:fill="0B4F71"/>
            <w:vAlign w:val="center"/>
            <w:tcMar>
              <w:top w:w="80" w:type="dxa"/>
              <w:start w:w="90" w:type="dxa"/>
              <w:bottom w:w="80" w:type="dxa"/>
              <w:end w:w="90" w:type="dxa"/>
            </w:tcMar>
          </w:tcPr>
          <w:p>
            <w:pPr>
              <w:spacing w:before="0" w:after="0" w:line="240" w:lineRule="auto"/>
              <w:jc w:val="center"/>
            </w:pPr>
            <w:r/>
            <w:r>
              <w:rPr>
                <w:rFonts w:ascii="Arial" w:hAnsi="Arial" w:eastAsia="Arial"/>
                <w:b/>
                <w:color w:val="FFFFFF"/>
                <w:sz w:val="17"/>
              </w:rPr>
              <w:t>Perioadă</w:t>
            </w:r>
          </w:p>
        </w:tc>
      </w:tr>
      <w:tr>
        <w:trPr>
          <w:cantSplit/>
        </w:trPr>
        <w:tc>
          <w:tcPr>
            <w:tcW w:type="dxa" w:w="3005"/>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Comenzi, facturi și documente contabile</w:t>
            </w:r>
          </w:p>
        </w:tc>
        <w:tc>
          <w:tcPr>
            <w:tcW w:type="dxa" w:w="6973"/>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Pe perioada cerută de legislația contabilă/fiscală și cât este necesar pentru apărarea drepturilor.</w:t>
            </w:r>
          </w:p>
        </w:tc>
      </w:tr>
      <w:tr>
        <w:trPr>
          <w:cantSplit/>
        </w:trPr>
        <w:tc>
          <w:tcPr>
            <w:tcW w:type="dxa" w:w="3005"/>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Mesaje și formulare</w:t>
            </w:r>
          </w:p>
        </w:tc>
        <w:tc>
          <w:tcPr>
            <w:tcW w:type="dxa" w:w="6973"/>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12 luni de la soluționare, dacă nu devin parte a unui contract, unei reclamații sau unui litigiu.</w:t>
            </w:r>
          </w:p>
        </w:tc>
      </w:tr>
      <w:tr>
        <w:trPr>
          <w:cantSplit/>
        </w:trPr>
        <w:tc>
          <w:tcPr>
            <w:tcW w:type="dxa" w:w="3005"/>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Cont de client</w:t>
            </w:r>
          </w:p>
        </w:tc>
        <w:tc>
          <w:tcPr>
            <w:tcW w:type="dxa" w:w="6973"/>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Până la închiderea contului; datele care trebuie păstrate prin lege se separă și se păstrează conform termenului legal.</w:t>
            </w:r>
          </w:p>
        </w:tc>
      </w:tr>
      <w:tr>
        <w:trPr>
          <w:cantSplit/>
        </w:trPr>
        <w:tc>
          <w:tcPr>
            <w:tcW w:type="dxa" w:w="3005"/>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Marketing</w:t>
            </w:r>
          </w:p>
        </w:tc>
        <w:tc>
          <w:tcPr>
            <w:tcW w:type="dxa" w:w="6973"/>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Până la retragerea consimțământului sau opoziție; dovada alegerii poate fi păstrată cât este necesar pentru demonstrarea respectării legii.</w:t>
            </w:r>
          </w:p>
        </w:tc>
      </w:tr>
      <w:tr>
        <w:trPr>
          <w:cantSplit/>
        </w:trPr>
        <w:tc>
          <w:tcPr>
            <w:tcW w:type="dxa" w:w="3005"/>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Loguri de securitate</w:t>
            </w:r>
          </w:p>
        </w:tc>
        <w:tc>
          <w:tcPr>
            <w:tcW w:type="dxa" w:w="6973"/>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Până la 90 de zile; în caz de incident, înregistrările relevante pot fi păstrate până la finalizarea investigației sau a obligațiilor legale.</w:t>
            </w:r>
          </w:p>
        </w:tc>
      </w:tr>
    </w:tbl>
    <w:p>
      <w:pPr>
        <w:spacing w:after="0"/>
      </w:pPr>
    </w:p>
    <w:p>
      <w:pPr>
        <w:pStyle w:val="Heading1"/>
      </w:pPr>
      <w:r>
        <w:t>7. Drepturile dumneavoastră</w:t>
      </w:r>
    </w:p>
    <w:p>
      <w:pPr>
        <w:keepLines w:val="0"/>
      </w:pPr>
      <w:r>
        <w:t>Puteți solicita accesul la date, o copie, rectificarea, ștergerea, restricționarea, portabilitatea și vă puteți opune prelucrării, inclusiv oricând marketingului direct. Dacă prelucrarea se bazează pe consimțământ, îl puteți retrage oricând, fără a afecta utilizarea anterioară a datelor.</w:t>
      </w:r>
    </w:p>
    <w:p>
      <w:pPr>
        <w:keepLines w:val="0"/>
      </w:pPr>
      <w:r>
        <w:t>Cererea se trimite la contact@aquabohema.com sau la sediul nostru. Răspundem, de regulă, în cel mult o lună; pentru cereri complexe, termenul poate fi prelungit cu cel mult două luni, cu informarea motivată în prima lună. Puteți depune plângere la CNPDCP: MD-2004, mun. Chișinău, str. Serghei Lazo nr. 48, centru@datepersonale.md, și vă puteți adresa instanței.</w:t>
      </w:r>
    </w:p>
    <w:p>
      <w:pPr>
        <w:pStyle w:val="Heading1"/>
      </w:pPr>
      <w:r>
        <w:t>8. Profilare și decizii automate</w:t>
      </w:r>
    </w:p>
    <w:p>
      <w:pPr>
        <w:keepLines w:val="0"/>
      </w:pPr>
      <w:r>
        <w:t>Nu luăm decizii exclusiv automate care produc efecte juridice sau vă afectează semnificativ. Dacă acceptați personalizarea, putem folosi categorii simple din istoricul comenzilor pentru a alege oferte mai relevante. Aceasta nu influențează prețul și nu limitează posibilitatea de a cumpăra.</w:t>
      </w:r>
    </w:p>
    <w:p>
      <w:pPr>
        <w:pStyle w:val="Heading1"/>
      </w:pPr>
      <w:r>
        <w:t>9. Securitatea datelor</w:t>
      </w:r>
    </w:p>
    <w:p>
      <w:pPr>
        <w:keepLines w:val="0"/>
      </w:pPr>
      <w:r>
        <w:t>Aplicăm măsuri organizatorice și tehnice pentru a proteja datele împotriva pierderii, accesului neautorizat și divulgării. Accesul este acordat numai persoanelor care au nevoie de date pentru activitatea lor. Nu ne transmiteți parole, numărul complet al cardului, codul CVV/CVC sau coduri bancare de unică folosință.</w:t>
      </w:r>
    </w:p>
    <w:p>
      <w:pPr>
        <w:pStyle w:val="Heading1"/>
      </w:pPr>
      <w:r>
        <w:t>10. Cookie</w:t>
      </w:r>
    </w:p>
    <w:p>
      <w:pPr>
        <w:keepLines w:val="0"/>
      </w:pPr>
      <w:r>
        <w:t>Cookie sunt fișiere sau identificatori utilizați pentru funcționarea site-ului. Cookie strict necesare asigură sesiunea, coșul, securitatea și memorarea preferinței privind cookie. Cookie funcționale, analitice și de marketing se activează numai după alegerea dumneavoastră, atunci când consimțământul este necesar.</w:t>
      </w:r>
    </w:p>
    <w:p>
      <w:pPr>
        <w:keepLines w:val="0"/>
      </w:pPr>
      <w:r>
        <w:t>La prima vizită puteți accepta toate cookie, le puteți respinge pe cele opționale sau puteți alege categoriile. Alegerea poate fi modificată oricând prin „Setări cookie”, iar refuzul cookie opționale nu împiedică plasarea comenzii. Lista cookie active, furnizorii, scopurile și durata lor sunt afișate în același panou.</w:t>
      </w:r>
    </w:p>
    <w:p>
      <w:pPr>
        <w:pStyle w:val="Heading1"/>
      </w:pPr>
      <w:r>
        <w:t>11. Modificări și versiune</w:t>
      </w:r>
    </w:p>
    <w:p>
      <w:pPr>
        <w:keepLines w:val="0"/>
      </w:pPr>
      <w:r>
        <w:t>Publicăm data și versiunea actuală. Dacă schimbăm în mod semnificativ scopurile, categoriile de date sau transferurile, informăm utilizatorii înainte de aplicare și solicităm un nou consimțământ atunci când legea îl cere. În caz de diferențe, prevalează versiunea în limba română.</w:t>
      </w:r>
    </w:p>
    <w:p>
      <w:r>
        <w:br w:type="page"/>
      </w:r>
    </w:p>
    <w:p>
      <w:pPr>
        <w:spacing w:after="40" w:line="240" w:lineRule="auto"/>
        <w:jc w:val="right"/>
      </w:pPr>
      <w:r>
        <w:rPr>
          <w:rFonts w:ascii="Arial" w:hAnsi="Arial"/>
          <w:color w:val="59666E"/>
          <w:sz w:val="15"/>
        </w:rPr>
        <w:t>Утверждена приказом № 1DPO от 21 августа 2026 г.</w:t>
      </w:r>
    </w:p>
    <w:p>
      <w:pPr>
        <w:spacing w:after="100" w:line="240" w:lineRule="auto"/>
        <w:jc w:val="center"/>
        <w:shd w:fill="0B4F71"/>
      </w:pPr>
      <w:r>
        <w:rPr>
          <w:rFonts w:ascii="Arial" w:hAnsi="Arial" w:eastAsia="Arial"/>
          <w:b/>
          <w:color w:val="FFFFFF"/>
          <w:sz w:val="16"/>
        </w:rPr>
        <w:t>РУССКАЯ ВЕРСИЯ</w:t>
      </w:r>
    </w:p>
    <w:p>
      <w:pPr>
        <w:pStyle w:val="Title"/>
        <w:jc w:val="center"/>
      </w:pPr>
      <w:r>
        <w:t>ПОЛИТИКА КОНФИДЕНЦИАЛЬНОСТИ И COOKIE</w:t>
      </w:r>
    </w:p>
    <w:p>
      <w:pPr>
        <w:spacing w:after="80" w:line="240" w:lineRule="auto"/>
        <w:jc w:val="center"/>
      </w:pPr>
      <w:r>
        <w:rPr>
          <w:i/>
          <w:color w:val="59666E"/>
          <w:sz w:val="18"/>
        </w:rPr>
        <w:t>для aquabohema.com, vitacolorostyle.com и aquabohemia.md · версия 1.0 · действует с 23 августа 2026 г.</w:t>
      </w:r>
    </w:p>
    <w:p>
      <w:pPr>
        <w:pStyle w:val="Heading1"/>
      </w:pPr>
      <w:r>
        <w:t>1. Кто мы</w:t>
      </w:r>
    </w:p>
    <w:p>
      <w:pPr>
        <w:keepLines w:val="0"/>
      </w:pPr>
      <w:r>
        <w:t>Оператор персональных данных — S.R.L. «VITA COLORATA», IDNO 1009600031488, адрес: MD-2043, мун. Кишинэу, бул. Дачия, 20, оф. 56, Республика Молдова. По вопросам обработки данных и для реализации прав обращайтесь: contact@aquabohema.com, +373 69 127 871.</w:t>
      </w:r>
    </w:p>
    <w:p>
      <w:pPr>
        <w:pStyle w:val="Heading1"/>
      </w:pPr>
      <w:r>
        <w:t>2. Какие данные мы используем и зачем</w:t>
      </w:r>
    </w:p>
    <w:tbl>
      <w:tblPr>
        <w:tblW w:type="auto" w:w="0"/>
        <w:jc w:val="center"/>
        <w:tblLayout w:type="fixed"/>
        <w:tblLook w:firstColumn="1" w:firstRow="1" w:lastColumn="0" w:lastRow="0" w:noHBand="0" w:noVBand="1" w:val="04A0"/>
      </w:tblPr>
      <w:tblGrid>
        <w:gridCol w:w="3421"/>
        <w:gridCol w:w="3421"/>
        <w:gridCol w:w="3421"/>
      </w:tblGrid>
      <w:tr>
        <w:trPr>
          <w:tblHeader w:val="true"/>
          <w:cantSplit/>
        </w:trPr>
        <w:tc>
          <w:tcPr>
            <w:tcW w:type="dxa" w:w="2409"/>
            <w:shd w:fill="0B4F71"/>
            <w:vAlign w:val="center"/>
            <w:tcMar>
              <w:top w:w="80" w:type="dxa"/>
              <w:start w:w="90" w:type="dxa"/>
              <w:bottom w:w="80" w:type="dxa"/>
              <w:end w:w="90" w:type="dxa"/>
            </w:tcMar>
          </w:tcPr>
          <w:p>
            <w:pPr>
              <w:spacing w:before="0" w:after="0" w:line="240" w:lineRule="auto"/>
              <w:jc w:val="center"/>
            </w:pPr>
            <w:r/>
            <w:r>
              <w:rPr>
                <w:rFonts w:ascii="Arial" w:hAnsi="Arial" w:eastAsia="Arial"/>
                <w:b/>
                <w:color w:val="FFFFFF"/>
                <w:sz w:val="18"/>
              </w:rPr>
              <w:t>Цель</w:t>
            </w:r>
          </w:p>
        </w:tc>
        <w:tc>
          <w:tcPr>
            <w:tcW w:type="dxa" w:w="4592"/>
            <w:shd w:fill="0B4F71"/>
            <w:vAlign w:val="center"/>
            <w:tcMar>
              <w:top w:w="80" w:type="dxa"/>
              <w:start w:w="90" w:type="dxa"/>
              <w:bottom w:w="80" w:type="dxa"/>
              <w:end w:w="90" w:type="dxa"/>
            </w:tcMar>
          </w:tcPr>
          <w:p>
            <w:pPr>
              <w:spacing w:before="0" w:after="0" w:line="240" w:lineRule="auto"/>
              <w:jc w:val="center"/>
            </w:pPr>
            <w:r/>
            <w:r>
              <w:rPr>
                <w:rFonts w:ascii="Arial" w:hAnsi="Arial" w:eastAsia="Arial"/>
                <w:b/>
                <w:color w:val="FFFFFF"/>
                <w:sz w:val="18"/>
              </w:rPr>
              <w:t>Какие данные</w:t>
            </w:r>
          </w:p>
        </w:tc>
        <w:tc>
          <w:tcPr>
            <w:tcW w:type="dxa" w:w="2976"/>
            <w:shd w:fill="0B4F71"/>
            <w:vAlign w:val="center"/>
            <w:tcMar>
              <w:top w:w="80" w:type="dxa"/>
              <w:start w:w="90" w:type="dxa"/>
              <w:bottom w:w="80" w:type="dxa"/>
              <w:end w:w="90" w:type="dxa"/>
            </w:tcMar>
          </w:tcPr>
          <w:p>
            <w:pPr>
              <w:spacing w:before="0" w:after="0" w:line="240" w:lineRule="auto"/>
              <w:jc w:val="center"/>
            </w:pPr>
            <w:r/>
            <w:r>
              <w:rPr>
                <w:rFonts w:ascii="Arial" w:hAnsi="Arial" w:eastAsia="Arial"/>
                <w:b/>
                <w:color w:val="FFFFFF"/>
                <w:sz w:val="18"/>
              </w:rPr>
              <w:t>Основание</w:t>
            </w:r>
          </w:p>
        </w:tc>
      </w:tr>
      <w:tr>
        <w:trPr>
          <w:cantSplit/>
        </w:trPr>
        <w:tc>
          <w:tcPr>
            <w:tcW w:type="dxa" w:w="2409"/>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Заказы, доставка, возвраты</w:t>
            </w:r>
          </w:p>
        </w:tc>
        <w:tc>
          <w:tcPr>
            <w:tcW w:type="dxa" w:w="4592"/>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Имя, телефон, e-mail, адрес, товары, количество, цена и переписка</w:t>
            </w:r>
          </w:p>
        </w:tc>
        <w:tc>
          <w:tcPr>
            <w:tcW w:type="dxa" w:w="297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Договор и законные обязанности</w:t>
            </w:r>
          </w:p>
        </w:tc>
      </w:tr>
      <w:tr>
        <w:trPr>
          <w:cantSplit/>
        </w:trPr>
        <w:tc>
          <w:tcPr>
            <w:tcW w:type="dxa" w:w="2409"/>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Счета и оплата</w:t>
            </w:r>
          </w:p>
        </w:tc>
        <w:tc>
          <w:tcPr>
            <w:tcW w:type="dxa" w:w="4592"/>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Данные для счёта, сумма и статус платежа; без полных данных карты</w:t>
            </w:r>
          </w:p>
        </w:tc>
        <w:tc>
          <w:tcPr>
            <w:tcW w:type="dxa" w:w="2976"/>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Договор и законные обязанности</w:t>
            </w:r>
          </w:p>
        </w:tc>
      </w:tr>
      <w:tr>
        <w:trPr>
          <w:cantSplit/>
        </w:trPr>
        <w:tc>
          <w:tcPr>
            <w:tcW w:type="dxa" w:w="2409"/>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Вопросы и претензии</w:t>
            </w:r>
          </w:p>
        </w:tc>
        <w:tc>
          <w:tcPr>
            <w:tcW w:type="dxa" w:w="4592"/>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Контактные данные, сообщение, заказ и необходимые доказательства</w:t>
            </w:r>
          </w:p>
        </w:tc>
        <w:tc>
          <w:tcPr>
            <w:tcW w:type="dxa" w:w="297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Договор, законная обязанность или законный интерес</w:t>
            </w:r>
          </w:p>
        </w:tc>
      </w:tr>
      <w:tr>
        <w:trPr>
          <w:cantSplit/>
        </w:trPr>
        <w:tc>
          <w:tcPr>
            <w:tcW w:type="dxa" w:w="2409"/>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Личный кабинет, если используется</w:t>
            </w:r>
          </w:p>
        </w:tc>
        <w:tc>
          <w:tcPr>
            <w:tcW w:type="dxa" w:w="4592"/>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Данные входа, профиль и история заказов</w:t>
            </w:r>
          </w:p>
        </w:tc>
        <w:tc>
          <w:tcPr>
            <w:tcW w:type="dxa" w:w="2976"/>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Договор; безопасность — законный интерес</w:t>
            </w:r>
          </w:p>
        </w:tc>
      </w:tr>
      <w:tr>
        <w:trPr>
          <w:cantSplit/>
        </w:trPr>
        <w:tc>
          <w:tcPr>
            <w:tcW w:type="dxa" w:w="2409"/>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Маркетинг и персональные предложения</w:t>
            </w:r>
          </w:p>
        </w:tc>
        <w:tc>
          <w:tcPr>
            <w:tcW w:type="dxa" w:w="4592"/>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Выбранный канал и доказательство согласия; минимальная история заказов, если вы согласились на персонализацию</w:t>
            </w:r>
          </w:p>
        </w:tc>
        <w:tc>
          <w:tcPr>
            <w:tcW w:type="dxa" w:w="297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Согласие или иное разрешённое законом основание</w:t>
            </w:r>
          </w:p>
        </w:tc>
      </w:tr>
      <w:tr>
        <w:trPr>
          <w:cantSplit/>
        </w:trPr>
        <w:tc>
          <w:tcPr>
            <w:tcW w:type="dxa" w:w="2409"/>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Работа и безопасность сайта</w:t>
            </w:r>
          </w:p>
        </w:tc>
        <w:tc>
          <w:tcPr>
            <w:tcW w:type="dxa" w:w="4592"/>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IP, браузер/устройство, технические события, журналы и cookie</w:t>
            </w:r>
          </w:p>
        </w:tc>
        <w:tc>
          <w:tcPr>
            <w:tcW w:type="dxa" w:w="2976"/>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Предоставление сервиса и законный интерес; согласие для необязательных cookie</w:t>
            </w:r>
          </w:p>
        </w:tc>
      </w:tr>
    </w:tbl>
    <w:p>
      <w:pPr>
        <w:spacing w:after="0"/>
      </w:pPr>
    </w:p>
    <w:tbl>
      <w:tblPr>
        <w:tblW w:type="auto" w:w="0"/>
        <w:jc w:val="center"/>
        <w:tblLayout w:type="autofit"/>
        <w:tblLook w:firstColumn="1" w:firstRow="1" w:lastColumn="0" w:lastRow="0" w:noHBand="0" w:noVBand="1" w:val="04A0"/>
      </w:tblPr>
      <w:tblGrid>
        <w:gridCol w:w="10262"/>
      </w:tblGrid>
      <w:tr>
        <w:trPr>
          <w:trHeight w:hRule="atLeast"/>
          <w:cantSplit/>
        </w:trPr>
        <w:tc>
          <w:tcPr>
            <w:tcW w:type="dxa" w:w="10262"/>
            <w:shd w:fill="EAF3F7"/>
            <w:vAlign w:val="center"/>
            <w:tcMar>
              <w:top w:w="80" w:type="dxa"/>
              <w:start w:w="90" w:type="dxa"/>
              <w:bottom w:w="80" w:type="dxa"/>
              <w:end w:w="90" w:type="dxa"/>
            </w:tcMar>
          </w:tcPr>
          <w:p>
            <w:pPr>
              <w:spacing w:before="0" w:after="0" w:line="240" w:lineRule="auto"/>
            </w:pPr>
            <w:r/>
            <w:r>
              <w:rPr>
                <w:rFonts w:ascii="Arial" w:hAnsi="Arial" w:eastAsia="Arial"/>
                <w:b w:val="0"/>
                <w:color w:val="1E2A32"/>
                <w:sz w:val="18"/>
              </w:rPr>
              <w:t>Обязательные поля отмечены в форме. Без необходимых данных мы не сможем обработать и доставить заказ. Личный кабинет, маркетинг, персонализация и необязательные cookie не являются условием покупки. Мы не просим сообщать диагнозы и иные сведения о здоровье; не указывайте их в заказе или сообщениях.</w:t>
            </w:r>
          </w:p>
        </w:tc>
      </w:tr>
    </w:tbl>
    <w:p>
      <w:pPr>
        <w:pStyle w:val="Heading1"/>
      </w:pPr>
      <w:r>
        <w:t>3. Онлайн-платежи</w:t>
      </w:r>
    </w:p>
    <w:p>
      <w:pPr>
        <w:keepLines w:val="0"/>
      </w:pPr>
      <w:r>
        <w:t>Онлайн-платежи обрабатывает BC „MAIB” S.A., которая выступает самостоятельным оператором данных при проведении и обеспечении безопасности платежа. Мы не получаем и не храним полный номер карты, код CVV/CVC или данные банковской аутентификации. Мы получаем только сумму, валюту, идентификатор и статус операции.</w:t>
      </w:r>
    </w:p>
    <w:p>
      <w:pPr>
        <w:pStyle w:val="Heading1"/>
      </w:pPr>
      <w:r>
        <w:t>4. Откуда мы получаем данные и кому их передаём</w:t>
      </w:r>
    </w:p>
    <w:p>
      <w:pPr>
        <w:keepLines w:val="0"/>
      </w:pPr>
      <w:r>
        <w:t>Обычно данные предоставляет сам пользователь. Когда заказ оформляется для другого получателя, часть данных может предоставить заказчик. Отдельные сведения могут поступать от службы доставки, банка или платформы, через которую вы связались с нами, только для исполнения запроса.</w:t>
      </w:r>
    </w:p>
    <w:p>
      <w:pPr>
        <w:keepLines w:val="0"/>
      </w:pPr>
      <w:r>
        <w:t>Доступ получают лишь сотрудники, которым данные нужны для работы, а при необходимости — поставщики хостинга и технического обслуживания сайта, банк, служба доставки, бухгалтерские/юридические консультанты и государственные органы. Передаётся только необходимая информация. Мы не продаём данные и не передаём их другим компаниям для их собственной рекламы.</w:t>
      </w:r>
    </w:p>
    <w:p>
      <w:pPr>
        <w:pStyle w:val="Heading1"/>
      </w:pPr>
      <w:r>
        <w:t>5. Передача в другие страны</w:t>
      </w:r>
    </w:p>
    <w:p>
      <w:pPr>
        <w:keepLines w:val="0"/>
      </w:pPr>
      <w:r>
        <w:t>Некоторые онлайн-сервисы могут хранить данные или предоставлять к ним доступ за пределами Республики Молдова. В таких случаях мы документируем передачу и применяем гарантии, предусмотренные Законом № 195/2024. По запросу мы предоставим информацию о применяемых гарантиях с учётом защиты конфиденциальных сведений.</w:t>
      </w:r>
    </w:p>
    <w:p>
      <w:r>
        <w:br w:type="page"/>
      </w:r>
    </w:p>
    <w:p>
      <w:pPr>
        <w:pStyle w:val="Heading1"/>
      </w:pPr>
      <w:r>
        <w:t>6. Сроки хранения</w:t>
      </w:r>
    </w:p>
    <w:tbl>
      <w:tblPr>
        <w:tblW w:type="auto" w:w="0"/>
        <w:jc w:val="center"/>
        <w:tblLayout w:type="fixed"/>
        <w:tblLook w:firstColumn="1" w:firstRow="1" w:lastColumn="0" w:lastRow="0" w:noHBand="0" w:noVBand="1" w:val="04A0"/>
      </w:tblPr>
      <w:tblGrid>
        <w:gridCol w:w="5131"/>
        <w:gridCol w:w="5131"/>
      </w:tblGrid>
      <w:tr>
        <w:trPr>
          <w:tblHeader w:val="true"/>
          <w:cantSplit/>
        </w:trPr>
        <w:tc>
          <w:tcPr>
            <w:tcW w:type="dxa" w:w="3005"/>
            <w:shd w:fill="0B4F71"/>
            <w:vAlign w:val="center"/>
            <w:tcMar>
              <w:top w:w="80" w:type="dxa"/>
              <w:start w:w="90" w:type="dxa"/>
              <w:bottom w:w="80" w:type="dxa"/>
              <w:end w:w="90" w:type="dxa"/>
            </w:tcMar>
          </w:tcPr>
          <w:p>
            <w:pPr>
              <w:spacing w:before="0" w:after="0" w:line="240" w:lineRule="auto"/>
              <w:jc w:val="center"/>
            </w:pPr>
            <w:r/>
            <w:r>
              <w:rPr>
                <w:rFonts w:ascii="Arial" w:hAnsi="Arial" w:eastAsia="Arial"/>
                <w:b/>
                <w:color w:val="FFFFFF"/>
                <w:sz w:val="17"/>
              </w:rPr>
              <w:t>Категория</w:t>
            </w:r>
          </w:p>
        </w:tc>
        <w:tc>
          <w:tcPr>
            <w:tcW w:type="dxa" w:w="6973"/>
            <w:shd w:fill="0B4F71"/>
            <w:vAlign w:val="center"/>
            <w:tcMar>
              <w:top w:w="80" w:type="dxa"/>
              <w:start w:w="90" w:type="dxa"/>
              <w:bottom w:w="80" w:type="dxa"/>
              <w:end w:w="90" w:type="dxa"/>
            </w:tcMar>
          </w:tcPr>
          <w:p>
            <w:pPr>
              <w:spacing w:before="0" w:after="0" w:line="240" w:lineRule="auto"/>
              <w:jc w:val="center"/>
            </w:pPr>
            <w:r/>
            <w:r>
              <w:rPr>
                <w:rFonts w:ascii="Arial" w:hAnsi="Arial" w:eastAsia="Arial"/>
                <w:b/>
                <w:color w:val="FFFFFF"/>
                <w:sz w:val="17"/>
              </w:rPr>
              <w:t>Срок</w:t>
            </w:r>
          </w:p>
        </w:tc>
      </w:tr>
      <w:tr>
        <w:trPr>
          <w:cantSplit/>
        </w:trPr>
        <w:tc>
          <w:tcPr>
            <w:tcW w:type="dxa" w:w="3005"/>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Заказы, счета и бухгалтерские документы</w:t>
            </w:r>
          </w:p>
        </w:tc>
        <w:tc>
          <w:tcPr>
            <w:tcW w:type="dxa" w:w="6973"/>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В течение срока, установленного бухгалтерским и налоговым законодательством, и пока это необходимо для защиты прав.</w:t>
            </w:r>
          </w:p>
        </w:tc>
      </w:tr>
      <w:tr>
        <w:trPr>
          <w:cantSplit/>
        </w:trPr>
        <w:tc>
          <w:tcPr>
            <w:tcW w:type="dxa" w:w="3005"/>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Сообщения и формы</w:t>
            </w:r>
          </w:p>
        </w:tc>
        <w:tc>
          <w:tcPr>
            <w:tcW w:type="dxa" w:w="6973"/>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12 месяцев после рассмотрения, если они не стали частью договора, претензии или спора.</w:t>
            </w:r>
          </w:p>
        </w:tc>
      </w:tr>
      <w:tr>
        <w:trPr>
          <w:cantSplit/>
        </w:trPr>
        <w:tc>
          <w:tcPr>
            <w:tcW w:type="dxa" w:w="3005"/>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Личный кабинет</w:t>
            </w:r>
          </w:p>
        </w:tc>
        <w:tc>
          <w:tcPr>
            <w:tcW w:type="dxa" w:w="6973"/>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До закрытия кабинета; данные, которые нужно хранить по закону, отделяются и сохраняются в установленный срок.</w:t>
            </w:r>
          </w:p>
        </w:tc>
      </w:tr>
      <w:tr>
        <w:trPr>
          <w:cantSplit/>
        </w:trPr>
        <w:tc>
          <w:tcPr>
            <w:tcW w:type="dxa" w:w="3005"/>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Маркетинг</w:t>
            </w:r>
          </w:p>
        </w:tc>
        <w:tc>
          <w:tcPr>
            <w:tcW w:type="dxa" w:w="6973"/>
            <w:shd w:fill="F3F5F6"/>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До отзыва согласия или возражения; подтверждение выбора может храниться столько, сколько необходимо для доказательства соблюдения закона.</w:t>
            </w:r>
          </w:p>
        </w:tc>
      </w:tr>
      <w:tr>
        <w:trPr>
          <w:cantSplit/>
        </w:trPr>
        <w:tc>
          <w:tcPr>
            <w:tcW w:type="dxa" w:w="3005"/>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Журналы безопасности</w:t>
            </w:r>
          </w:p>
        </w:tc>
        <w:tc>
          <w:tcPr>
            <w:tcW w:type="dxa" w:w="6973"/>
            <w:vAlign w:val="center"/>
            <w:tcMar>
              <w:top w:w="80" w:type="dxa"/>
              <w:start w:w="90" w:type="dxa"/>
              <w:bottom w:w="80" w:type="dxa"/>
              <w:end w:w="90" w:type="dxa"/>
            </w:tcMar>
          </w:tcPr>
          <w:p>
            <w:pPr>
              <w:spacing w:before="0" w:after="0" w:line="240" w:lineRule="auto"/>
            </w:pPr>
            <w:r/>
            <w:r>
              <w:rPr>
                <w:rFonts w:ascii="Arial" w:hAnsi="Arial" w:eastAsia="Arial"/>
                <w:b w:val="0"/>
                <w:color w:val="1E2A32"/>
                <w:sz w:val="17"/>
              </w:rPr>
              <w:t>До 90 дней; при инциденте соответствующие записи могут храниться до завершения расследования или выполнения законных обязанностей.</w:t>
            </w:r>
          </w:p>
        </w:tc>
      </w:tr>
    </w:tbl>
    <w:p>
      <w:pPr>
        <w:spacing w:after="0"/>
      </w:pPr>
    </w:p>
    <w:p>
      <w:pPr>
        <w:pStyle w:val="Heading1"/>
      </w:pPr>
      <w:r>
        <w:t>7. Ваши права</w:t>
      </w:r>
    </w:p>
    <w:p>
      <w:pPr>
        <w:keepLines w:val="0"/>
      </w:pPr>
      <w:r>
        <w:t>Вы можете запросить доступ к данным и их копию, исправление, удаление, ограничение обработки и переносимость, а также возразить против обработки, в том числе в любое время против прямого маркетинга. Когда обработка основана на согласии, его можно отозвать в любое время; это не делает незаконной предыдущую обработку.</w:t>
      </w:r>
    </w:p>
    <w:p>
      <w:pPr>
        <w:keepLines w:val="0"/>
      </w:pPr>
      <w:r>
        <w:t>Запрос направляется на contact@aquabohema.com или по адресу компании. Обычно мы отвечаем не позднее одного месяца. Для сложных запросов срок может быть продлён ещё не более чем на два месяца; о причинах продления сообщается в течение первого месяца. Жалобу можно подать в CNPDCP: MD-2004, мун. Кишинэу, ул. Сергей Лазо, 48, centru@datepersonale.md, а также обратиться в суд.</w:t>
      </w:r>
    </w:p>
    <w:p>
      <w:pPr>
        <w:pStyle w:val="Heading1"/>
      </w:pPr>
      <w:r>
        <w:t>8. Профилирование и автоматические решения</w:t>
      </w:r>
    </w:p>
    <w:p>
      <w:pPr>
        <w:keepLines w:val="0"/>
      </w:pPr>
      <w:r>
        <w:t>Мы не принимаем исключительно автоматические решения, которые имеют юридические или сопоставимые существенные последствия. При согласии на персонализацию мы можем использовать простые категории из истории заказов, чтобы выбирать более подходящие предложения. Это не влияет на цену и не ограничивает возможность покупки.</w:t>
      </w:r>
    </w:p>
    <w:p>
      <w:pPr>
        <w:pStyle w:val="Heading1"/>
      </w:pPr>
      <w:r>
        <w:t>9. Защита данных</w:t>
      </w:r>
    </w:p>
    <w:p>
      <w:pPr>
        <w:keepLines w:val="0"/>
      </w:pPr>
      <w:r>
        <w:t>Мы применяем организационные и технические меры для защиты данных от утраты, несанкционированного доступа и раскрытия. Доступ получают только лица, которым данные нужны для работы. Не отправляйте нам пароли, полный номер карты, код CVV/CVC или одноразовые банковские коды.</w:t>
      </w:r>
    </w:p>
    <w:p>
      <w:pPr>
        <w:pStyle w:val="Heading1"/>
      </w:pPr>
      <w:r>
        <w:t>10. Cookie</w:t>
      </w:r>
    </w:p>
    <w:p>
      <w:pPr>
        <w:keepLines w:val="0"/>
      </w:pPr>
      <w:r>
        <w:t>Cookie — это файлы или идентификаторы, используемые для работы сайта. Строго необходимые cookie обеспечивают сессию, корзину, безопасность и сохранение выбора cookie. Функциональные, аналитические и маркетинговые cookie включаются только после вашего выбора, когда для этого требуется согласие.</w:t>
      </w:r>
    </w:p>
    <w:p>
      <w:pPr>
        <w:keepLines w:val="0"/>
      </w:pPr>
      <w:r>
        <w:t>При первом посещении можно принять все cookie, отклонить необязательные или выбрать категории. Решение можно изменить в любое время через «Настройки cookie». Отказ от необязательных cookie не мешает оформить заказ. Список активных cookie, их поставщики, цели и сроки отображаются в этой же панели.</w:t>
      </w:r>
    </w:p>
    <w:p>
      <w:pPr>
        <w:pStyle w:val="Heading1"/>
      </w:pPr>
      <w:r>
        <w:t>11. Изменения и версия</w:t>
      </w:r>
    </w:p>
    <w:p>
      <w:pPr>
        <w:keepLines w:val="0"/>
      </w:pPr>
      <w:r>
        <w:t>Мы публикуем дату и номер действующей версии. При существенном изменении целей, категорий данных или передачи в другие страны пользователи будут уведомлены заранее; новое согласие запрашивается, когда это требуется законом. При расхождениях преимущественную силу имеет румынская версия, русская версия носит информационный характер.</w:t>
      </w:r>
    </w:p>
    <w:sectPr w:rsidR="00FC693F" w:rsidRPr="0006063C" w:rsidSect="00034616">
      <w:headerReference w:type="default" r:id="rId9"/>
      <w:footerReference w:type="default" r:id="rId10"/>
      <w:pgSz w:w="11906" w:h="16838"/>
      <w:pgMar w:top="737" w:right="822" w:bottom="709" w:left="822"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Arial" w:hAnsi="Arial"/>
        <w:color w:val="66727A"/>
        <w:sz w:val="14"/>
      </w:rPr>
      <w:t xml:space="preserve">DP-04  ·  Politica de confidențialitate și cookie / Политика конфиденциальности и cookie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8" w:space="1" w:color="0B4F71"/>
      </w:pBdr>
    </w:pPr>
    <w:r/>
    <w:r>
      <w:rPr>
        <w:rFonts w:ascii="Arial" w:hAnsi="Arial"/>
        <w:b/>
        <w:color w:val="0B4F71"/>
        <w:sz w:val="15"/>
      </w:rPr>
      <w:t>S.R.L. „VITA COLORATA”  ·  IDNO 1009600031488</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50" w:line="245" w:lineRule="auto"/>
    </w:pPr>
    <w:rPr>
      <w:rFonts w:ascii="Arial" w:hAnsi="Arial" w:eastAsia="Arial"/>
      <w:color w:val="1E2A32"/>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30" w:line="240" w:lineRule="auto"/>
      <w:outlineLvl w:val="0"/>
    </w:pPr>
    <w:rPr>
      <w:rFonts w:asciiTheme="majorHAnsi" w:eastAsiaTheme="majorEastAsia" w:hAnsiTheme="majorHAnsi" w:cstheme="majorBidi" w:ascii="Arial" w:hAnsi="Arial" w:eastAsia="Arial"/>
      <w:b/>
      <w:bCs/>
      <w:color w:val="0B4F71"/>
      <w:sz w:val="22"/>
      <w:szCs w:val="28"/>
    </w:rPr>
  </w:style>
  <w:style w:type="paragraph" w:styleId="Heading2">
    <w:name w:val="heading 2"/>
    <w:basedOn w:val="Normal"/>
    <w:next w:val="Normal"/>
    <w:link w:val="Heading2Char"/>
    <w:uiPriority w:val="9"/>
    <w:unhideWhenUsed/>
    <w:qFormat/>
    <w:rsid w:val="00FC693F"/>
    <w:pPr>
      <w:keepNext/>
      <w:keepLines/>
      <w:spacing w:before="100" w:after="30" w:line="240" w:lineRule="auto"/>
      <w:outlineLvl w:val="1"/>
    </w:pPr>
    <w:rPr>
      <w:rFonts w:asciiTheme="majorHAnsi" w:eastAsiaTheme="majorEastAsia" w:hAnsiTheme="majorHAnsi" w:cstheme="majorBidi" w:ascii="Arial" w:hAnsi="Arial" w:eastAsia="Arial"/>
      <w:b/>
      <w:bCs/>
      <w:color w:val="0B4F71"/>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Arial" w:hAnsi="Arial" w:eastAsia="Arial"/>
      <w:b/>
      <w:color w:val="0B4F71"/>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Bullet">
    <w:name w:val="Compact Bullet"/>
    <w:basedOn w:val="Normal"/>
    <w:pPr>
      <w:spacing w:after="24"/>
      <w:ind w:left="238" w:hanging="125"/>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 de confidențialitate și cookie / Политика конфиденциальности и cookie</dc:title>
  <dc:subject>S.R.L. VITA COLORATA — DP-04</dc:subject>
  <dc:creator>S.R.L. VITA COLORATA</dc:creator>
  <cp:keywords>protecția datelor, confidențialitate, cookie, Legea 195/2024</cp:keywords>
  <dc:description>generated by python-docx</dc:description>
  <cp:lastModifiedBy/>
  <cp:revision>1</cp:revision>
  <dcterms:created xsi:type="dcterms:W3CDTF">2013-12-23T23:15:00Z</dcterms:created>
  <dcterms:modified xsi:type="dcterms:W3CDTF">2013-12-23T23:15:00Z</dcterms:modified>
  <cp:category/>
</cp:coreProperties>
</file>